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9ACD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A300F2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45D05F9A" w:rsidR="00A300F2" w:rsidRPr="00A300F2" w:rsidRDefault="00A20D6C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Frazeologia francuska</w:t>
            </w:r>
          </w:p>
        </w:tc>
      </w:tr>
      <w:tr w:rsidR="00A300F2" w:rsidRPr="00A300F2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681AD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A300F2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A300F2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A300F2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A300F2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59289C6D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Studenci zostaną zapoznani z zag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adnieniami z zakresu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1C30381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A300F2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A300F2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A300F2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B805B7"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F35BA7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A300F2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FF0AB9" w14:textId="04C2FF1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  <w:p w14:paraId="234B241D" w14:textId="1A58115D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W02_zna na poziomie rozszerzonym terminologię i teorię z zakresu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</w:tc>
        <w:tc>
          <w:tcPr>
            <w:tcW w:w="2365" w:type="dxa"/>
          </w:tcPr>
          <w:p w14:paraId="14B53C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A300F2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722BDA0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  <w:p w14:paraId="0F5D7511" w14:textId="0910B7EC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U02_samodzielnie zdobywa wiedzę i rozwija umiejętności badawcze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</w:tc>
        <w:tc>
          <w:tcPr>
            <w:tcW w:w="2410" w:type="dxa"/>
          </w:tcPr>
          <w:p w14:paraId="0F60C9C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A300F2" w:rsidRPr="00A300F2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170892A2" w:rsidR="00A300F2" w:rsidRPr="00A300F2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1F67ED1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A300F2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A300F2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A300F2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139A83A1" w:rsidR="00A300F2" w:rsidRPr="00A300F2" w:rsidRDefault="00313D9D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A300F2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A300F2" w14:paraId="043BB71C" w14:textId="77777777" w:rsidTr="00313D9D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28CDCA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F90A5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D0F97F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A46753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C0C851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59CA3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AAEC5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DCBF6E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4CB8C7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1FD903A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36D132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83921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488193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13D9D" w:rsidRPr="00A300F2" w14:paraId="450A7405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1EC712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6BCF58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FD28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1B3D274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9D8DC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954B26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4D12B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D44655" w14:textId="6B0AC7E0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E9AFFC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B53210D" w14:textId="55CC5770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F27CC8F" w14:textId="5FBFC09A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4DF65D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51AA9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09338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6FD8C94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3D11C39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6D88BD7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DA2B2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B5EFE7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C1330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CE8F2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5659E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C4D0FC" w14:textId="17A2D204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8921F0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8BC1977" w14:textId="1B434579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1329DB9A" w14:textId="5A4CB49A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DA4F9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2CAAA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C7F9F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577D70CB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AADC24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27037E8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C18EAB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F220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CC8EB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8CF82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189D94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61ED18" w14:textId="5C5F9DD2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0D1594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A5AF565" w14:textId="7ECCE801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0E852685" w14:textId="4BB95DEC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52380E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E13F2E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5B815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20CDC80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025D109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7511E9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10064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CE1788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697D4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F88B9F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1149C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470F50" w14:textId="5B366E3C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A232B4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323F497C" w14:textId="15ED5F48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0F2F10A" w14:textId="215508BE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15E20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8DE9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3A6F5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149E949C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117E83B7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D8FC38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4D90F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BE91D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2EED87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F295B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662A1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26A102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F945A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AF23A6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9B7D312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2915D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F3854D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1C881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4951FD2C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2B7D082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00C6C8A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0D1FD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8C2FA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D4B8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D181BF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F4BD8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188B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3564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53243A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4593CC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7E38A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B4F15C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39AA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D00E7C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A300F2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5DE32C2F" w14:textId="77777777" w:rsidTr="007C49C4">
        <w:trPr>
          <w:trHeight w:val="567"/>
        </w:trPr>
        <w:tc>
          <w:tcPr>
            <w:tcW w:w="9622" w:type="dxa"/>
          </w:tcPr>
          <w:p w14:paraId="73E3FBFD" w14:textId="77777777" w:rsidR="00CE6118" w:rsidRDefault="00CE6118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Wprowadzenie do frazeologii</w:t>
            </w:r>
          </w:p>
          <w:p w14:paraId="0C470197" w14:textId="77777777" w:rsidR="00CE6118" w:rsidRDefault="00CE6118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Związki frazeologiczne: rzeczowniki złożone, wyrażenia czasownikowe, wyrażenia przymiotnikowe, wyrażenia przysłówkowe, determinanty złożone, wyrażenia przyimkowe</w:t>
            </w:r>
          </w:p>
          <w:p w14:paraId="04DADA63" w14:textId="674674EF" w:rsidR="00455FC0" w:rsidRDefault="00455FC0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Kolokacje</w:t>
            </w:r>
            <w:r w:rsidR="005D4C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koligacje</w:t>
            </w:r>
          </w:p>
          <w:p w14:paraId="57F7F0F1" w14:textId="63BCBB15" w:rsidR="00A300F2" w:rsidRPr="00CE6118" w:rsidRDefault="005D4CBC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Frazeologia rozszerzona </w:t>
            </w:r>
          </w:p>
        </w:tc>
      </w:tr>
    </w:tbl>
    <w:p w14:paraId="6F22F0B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455FC0" w14:paraId="56737B19" w14:textId="77777777" w:rsidTr="007C49C4">
        <w:trPr>
          <w:trHeight w:val="784"/>
        </w:trPr>
        <w:tc>
          <w:tcPr>
            <w:tcW w:w="9622" w:type="dxa"/>
          </w:tcPr>
          <w:p w14:paraId="69BCC7B9" w14:textId="77777777" w:rsidR="00455FC0" w:rsidRPr="00FC440D" w:rsidRDefault="00455FC0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Gross, G., (1996)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Les expressions figées en français : noms composés et autres locutions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Éditions Ophrys, p. 161. </w:t>
            </w:r>
          </w:p>
          <w:p w14:paraId="59132B96" w14:textId="77777777" w:rsidR="005D4CBC" w:rsidRPr="00FC440D" w:rsidRDefault="005D4CBC" w:rsidP="005D4CBC">
            <w:pPr>
              <w:tabs>
                <w:tab w:val="left" w:pos="567"/>
              </w:tabs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Longrée, D., Mellet, S., (2013) : « Le motif : une unité phraséologique englobante ? Étendre le champ de la phraséologie de la langue au discours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Langages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189, p. 65-79. </w:t>
            </w:r>
          </w:p>
          <w:p w14:paraId="4A3EE38F" w14:textId="77777777" w:rsidR="005D4CBC" w:rsidRPr="00FC440D" w:rsidRDefault="005D4CBC" w:rsidP="005D4CBC">
            <w:pPr>
              <w:suppressAutoHyphens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Muryn, T., Niziołek, M., Hajok, A., Prażuch, W., Gabrysiak, K., (2016) : « La Matrice lexico-syntaxique du roman policier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5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fr-FR"/>
              </w:rPr>
              <w:t>ème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Congrès Mondial de Linguistique Française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le 4-8 juillet 2016, Institut de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Linguistique Française, Université de Rabelais de Tours, France. http://dx.doi.org/10.1051/shsconf/20162706007.</w:t>
            </w:r>
          </w:p>
          <w:p w14:paraId="087DAF91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Tutin, A., Grossmann, F., (2002) : « Collocations régulières et irrégulières : esquisse de typologie du phénomène collocatif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Revue française de linguistique appliquée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vol. </w:t>
            </w: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VII-1, p. 7-25.</w:t>
            </w:r>
          </w:p>
          <w:p w14:paraId="4B64007C" w14:textId="3F106AF5" w:rsidR="00842C25" w:rsidRPr="00455FC0" w:rsidRDefault="00842C25" w:rsidP="00455FC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</w:p>
        </w:tc>
      </w:tr>
    </w:tbl>
    <w:p w14:paraId="2746570F" w14:textId="77777777" w:rsidR="00A300F2" w:rsidRPr="00455FC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086A04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5D4CBC" w14:paraId="460EEAE8" w14:textId="77777777" w:rsidTr="007C49C4">
        <w:trPr>
          <w:trHeight w:val="153"/>
        </w:trPr>
        <w:tc>
          <w:tcPr>
            <w:tcW w:w="9622" w:type="dxa"/>
          </w:tcPr>
          <w:p w14:paraId="60932E53" w14:textId="77777777" w:rsidR="00455FC0" w:rsidRPr="00FC440D" w:rsidRDefault="00455FC0" w:rsidP="005D4CBC">
            <w:pPr>
              <w:tabs>
                <w:tab w:val="left" w:pos="567"/>
              </w:tabs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Grossmann, F., (2015) : « Les motifs du constat dans les genres scientifiques » in Beliakov, V., Mejri, S., (dir.)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Stéréotypie et figement. A l’origine du sens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Presses Universitaires du Midi, p. 39-56.</w:t>
            </w:r>
          </w:p>
          <w:p w14:paraId="6C1FA289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Legallois, D., (2012) : « La colligation : autre nom de la collocation grammaticale ou autre logique de la relation mutuelle entre syntaxe et sémantique ?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Corpus,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n°11, p. 31-54.</w:t>
            </w:r>
          </w:p>
          <w:p w14:paraId="14AB59E2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Legallois, D., Tutin, A., (2013) :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Vers une extension du domaine de la phraséologie » in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Langages</w:t>
            </w:r>
            <w:r w:rsidRPr="00FC440D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n°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189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p. 3-25.</w:t>
            </w:r>
          </w:p>
          <w:p w14:paraId="03531B09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Longrée, D., Luong, X., Mellet, S., (2008) : « Les motifs : un outil pour la caractérisation topologique des textes » in JADT 2008, Actes des 9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èmes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 </w:t>
            </w:r>
            <w:r w:rsidRPr="00FC440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fr-FR"/>
              </w:rPr>
              <w:t>Journées internationales d’Analyse statistique des Données Textuelles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, vol. 2, Heiden, S. et Pincemin, B. (éds), Presses Universitaires de Lyon, Lyon, p. 733-744.</w:t>
            </w:r>
          </w:p>
          <w:p w14:paraId="13E9E921" w14:textId="77777777" w:rsidR="005D4CBC" w:rsidRPr="00FC440D" w:rsidRDefault="005D4CBC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Mejri, S., (2010) : « Figement, collocation et combinatoire libre » in Anscombre J.-C., Mejri S. (éds),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figement linguistique : la parole entravée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Paris Honoré Champion Éditeur, p. 63-77.</w:t>
            </w:r>
          </w:p>
          <w:p w14:paraId="4BAA0282" w14:textId="77777777" w:rsidR="005D4CBC" w:rsidRPr="00FC440D" w:rsidRDefault="005D4CBC" w:rsidP="005D4CBC">
            <w:pPr>
              <w:pStyle w:val="Default"/>
              <w:ind w:left="1418" w:hanging="1418"/>
              <w:jc w:val="both"/>
              <w:rPr>
                <w:color w:val="auto"/>
                <w:sz w:val="20"/>
                <w:szCs w:val="20"/>
              </w:rPr>
            </w:pPr>
            <w:r w:rsidRPr="00FC440D">
              <w:rPr>
                <w:color w:val="auto"/>
                <w:sz w:val="20"/>
                <w:szCs w:val="20"/>
              </w:rPr>
              <w:t xml:space="preserve">Mejri, S., (1997) : </w:t>
            </w:r>
            <w:r w:rsidRPr="00FC440D">
              <w:rPr>
                <w:i/>
                <w:color w:val="auto"/>
                <w:sz w:val="20"/>
                <w:szCs w:val="20"/>
              </w:rPr>
              <w:t>Le figement lexical. Descriptions linguistiques et structuration sémantique</w:t>
            </w:r>
            <w:r w:rsidRPr="00FC440D">
              <w:rPr>
                <w:color w:val="auto"/>
                <w:sz w:val="20"/>
                <w:szCs w:val="20"/>
              </w:rPr>
              <w:t xml:space="preserve">, Faculté des lettres de la Manouba, </w:t>
            </w:r>
            <w:r w:rsidRPr="00FC440D">
              <w:rPr>
                <w:i/>
                <w:color w:val="auto"/>
                <w:sz w:val="20"/>
                <w:szCs w:val="20"/>
              </w:rPr>
              <w:t>Série linguistique</w:t>
            </w:r>
            <w:r w:rsidRPr="00FC440D">
              <w:rPr>
                <w:color w:val="auto"/>
                <w:sz w:val="20"/>
                <w:szCs w:val="20"/>
              </w:rPr>
              <w:t>, 10, p. 632.</w:t>
            </w:r>
          </w:p>
          <w:p w14:paraId="46BBDF6A" w14:textId="77777777" w:rsidR="005D4CBC" w:rsidRPr="00FC440D" w:rsidRDefault="005D4CBC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Tutin, A., (2013) : « </w:t>
            </w:r>
            <w:r w:rsidRPr="00FC440D">
              <w:rPr>
                <w:rFonts w:ascii="Times New Roman" w:hAnsi="Times New Roman" w:cs="Times New Roman"/>
                <w:bCs/>
                <w:sz w:val="20"/>
                <w:szCs w:val="20"/>
                <w:lang w:val="fr-FR"/>
              </w:rPr>
              <w:t>La phraséologie transdisciplinaire des écrits scientifiques : des collocations aux routines sémantico-rhétoriques 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L’écrit scientifique : du lexique au discours. Autour de scientext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Presses Universitaires de Rennes, p. 27-43.</w:t>
            </w:r>
          </w:p>
          <w:p w14:paraId="3076C3D7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Tutin, A., (2007) : « Autour du lexique et de la phraséologie des écrits scientifiques » in </w:t>
            </w:r>
            <w:r w:rsidRPr="00FC440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Revue française de linguistique appliquée,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vol. XII, p. 5-14. </w:t>
            </w:r>
          </w:p>
          <w:p w14:paraId="5743C9C6" w14:textId="77777777" w:rsidR="005D4CBC" w:rsidRPr="0084062F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Tutin, A., Grossmann, F., (2013)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L’écrit scientifique : du lexique au discours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proofErr w:type="spellStart"/>
            <w:r w:rsidRPr="0084062F">
              <w:rPr>
                <w:rFonts w:ascii="Times New Roman" w:hAnsi="Times New Roman" w:cs="Times New Roman"/>
                <w:i/>
                <w:sz w:val="20"/>
                <w:szCs w:val="20"/>
              </w:rPr>
              <w:t>Autour</w:t>
            </w:r>
            <w:proofErr w:type="spellEnd"/>
            <w:r w:rsidRPr="0084062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 </w:t>
            </w:r>
            <w:proofErr w:type="spellStart"/>
            <w:r w:rsidRPr="0084062F">
              <w:rPr>
                <w:rFonts w:ascii="Times New Roman" w:hAnsi="Times New Roman" w:cs="Times New Roman"/>
                <w:i/>
                <w:sz w:val="20"/>
                <w:szCs w:val="20"/>
              </w:rPr>
              <w:t>scientext</w:t>
            </w:r>
            <w:proofErr w:type="spellEnd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>Presse</w:t>
            </w:r>
            <w:proofErr w:type="spellEnd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>Universitaire</w:t>
            </w:r>
            <w:proofErr w:type="spellEnd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>Rennes</w:t>
            </w:r>
            <w:proofErr w:type="spellEnd"/>
            <w:r w:rsidRPr="0084062F">
              <w:rPr>
                <w:rFonts w:ascii="Times New Roman" w:hAnsi="Times New Roman" w:cs="Times New Roman"/>
                <w:sz w:val="20"/>
                <w:szCs w:val="20"/>
              </w:rPr>
              <w:t>, p. 242.</w:t>
            </w:r>
          </w:p>
          <w:p w14:paraId="74784C2A" w14:textId="33780DCB" w:rsidR="00A300F2" w:rsidRPr="005D4CBC" w:rsidRDefault="005D4CBC" w:rsidP="005D4CBC">
            <w:pPr>
              <w:spacing w:after="0" w:line="240" w:lineRule="auto"/>
              <w:ind w:left="1418" w:hanging="1418"/>
              <w:rPr>
                <w:rFonts w:cs="Times New Roman"/>
                <w:szCs w:val="24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Vetulani, G., (2012)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Kolokacje </w:t>
            </w:r>
            <w:proofErr w:type="spellStart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werbo</w:t>
            </w:r>
            <w:proofErr w:type="spellEnd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-nominalne jako samodzielne jednostki języka</w:t>
            </w: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, Wydawnictwo Naukowe Uniwersytetu im. Adama Mickiewicza,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Poznan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́, p. 190.</w:t>
            </w:r>
          </w:p>
        </w:tc>
      </w:tr>
    </w:tbl>
    <w:p w14:paraId="4556A5AA" w14:textId="77777777" w:rsidR="00A300F2" w:rsidRPr="005D4CBC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A300F2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1A7F248E" w:rsidR="00A300F2" w:rsidRPr="00A300F2" w:rsidRDefault="00313D9D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07A058A4" w:rsidR="00A300F2" w:rsidRPr="00A300F2" w:rsidRDefault="0084062F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300F2" w:rsidRPr="00A300F2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5E5FF08C" w:rsidR="00A300F2" w:rsidRPr="00A300F2" w:rsidRDefault="0084062F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A300F2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0ED291CF" w:rsidR="00A300F2" w:rsidRPr="00A300F2" w:rsidRDefault="0084062F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6F88D34A" w:rsidR="00A300F2" w:rsidRPr="00A300F2" w:rsidRDefault="0084062F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A300F2" w:rsidRPr="00A300F2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4770">
    <w:abstractNumId w:val="0"/>
  </w:num>
  <w:num w:numId="2" w16cid:durableId="37142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54847"/>
    <w:rsid w:val="00185CBC"/>
    <w:rsid w:val="00313D9D"/>
    <w:rsid w:val="00455FC0"/>
    <w:rsid w:val="00533743"/>
    <w:rsid w:val="005D4CBC"/>
    <w:rsid w:val="006B0DA1"/>
    <w:rsid w:val="006C5F56"/>
    <w:rsid w:val="0084062F"/>
    <w:rsid w:val="00842C25"/>
    <w:rsid w:val="00866892"/>
    <w:rsid w:val="009E6697"/>
    <w:rsid w:val="00A20D6C"/>
    <w:rsid w:val="00A300F2"/>
    <w:rsid w:val="00A625A3"/>
    <w:rsid w:val="00AA11F1"/>
    <w:rsid w:val="00B45CA0"/>
    <w:rsid w:val="00B805B7"/>
    <w:rsid w:val="00CE5F3A"/>
    <w:rsid w:val="00CE6118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Hipercze">
    <w:name w:val="Hyperlink"/>
    <w:basedOn w:val="Domylnaczcionkaakapitu"/>
    <w:uiPriority w:val="99"/>
    <w:semiHidden/>
    <w:unhideWhenUsed/>
    <w:rsid w:val="00866892"/>
    <w:rPr>
      <w:color w:val="0000FF"/>
      <w:u w:val="single"/>
    </w:rPr>
  </w:style>
  <w:style w:type="character" w:customStyle="1" w:styleId="author">
    <w:name w:val="author"/>
    <w:basedOn w:val="Domylnaczcionkaakapitu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814</Words>
  <Characters>4887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9</cp:revision>
  <dcterms:created xsi:type="dcterms:W3CDTF">2024-09-25T07:40:00Z</dcterms:created>
  <dcterms:modified xsi:type="dcterms:W3CDTF">2024-09-25T17:06:00Z</dcterms:modified>
</cp:coreProperties>
</file>